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C0" w:rsidRPr="0029252B" w:rsidRDefault="001D07C0" w:rsidP="00B77A52">
      <w:pPr>
        <w:spacing w:after="0" w:line="240" w:lineRule="auto"/>
        <w:ind w:left="-284"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D07C0" w:rsidRPr="0029252B" w:rsidRDefault="001D07C0" w:rsidP="001D07C0">
      <w:pPr>
        <w:tabs>
          <w:tab w:val="left" w:pos="43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  <w:t>РЕШЕНИЕ</w:t>
      </w: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D07C0" w:rsidRPr="004045C9" w:rsidRDefault="001D07C0" w:rsidP="001D07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4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E45BB">
        <w:rPr>
          <w:rFonts w:ascii="Times New Roman" w:eastAsia="Calibri" w:hAnsi="Times New Roman" w:cs="Times New Roman"/>
          <w:sz w:val="28"/>
          <w:szCs w:val="28"/>
          <w:lang w:eastAsia="ru-RU"/>
        </w:rPr>
        <w:t>06 февраля</w:t>
      </w:r>
      <w:r w:rsidR="003369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2018</w:t>
      </w:r>
      <w:r w:rsidRPr="00404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№ </w:t>
      </w:r>
      <w:r w:rsidR="003E45BB">
        <w:rPr>
          <w:rFonts w:ascii="Times New Roman" w:eastAsia="Calibri" w:hAnsi="Times New Roman" w:cs="Times New Roman"/>
          <w:sz w:val="28"/>
          <w:szCs w:val="28"/>
          <w:lang w:eastAsia="ru-RU"/>
        </w:rPr>
        <w:t>96</w:t>
      </w: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69F4" w:rsidRPr="00BE7276" w:rsidRDefault="003369F4" w:rsidP="0067320B">
      <w:pPr>
        <w:pStyle w:val="Title"/>
        <w:tabs>
          <w:tab w:val="left" w:pos="4536"/>
        </w:tabs>
        <w:ind w:right="481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3369F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</w:t>
      </w:r>
      <w:r w:rsidR="00B340E4">
        <w:rPr>
          <w:rFonts w:ascii="Times New Roman" w:hAnsi="Times New Roman" w:cs="Times New Roman"/>
          <w:b w:val="0"/>
          <w:sz w:val="28"/>
          <w:szCs w:val="28"/>
        </w:rPr>
        <w:t xml:space="preserve">решение Сессии народных депутатов </w:t>
      </w:r>
      <w:proofErr w:type="spellStart"/>
      <w:r w:rsidR="0067320B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67320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340E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916D2">
        <w:rPr>
          <w:rFonts w:ascii="Times New Roman" w:hAnsi="Times New Roman" w:cs="Times New Roman"/>
          <w:b w:val="0"/>
          <w:sz w:val="28"/>
          <w:szCs w:val="28"/>
        </w:rPr>
        <w:t>10.11.2017г. №81</w:t>
      </w:r>
      <w:r w:rsidR="0067320B">
        <w:rPr>
          <w:rFonts w:ascii="Times New Roman" w:hAnsi="Times New Roman" w:cs="Times New Roman"/>
          <w:b w:val="0"/>
          <w:sz w:val="28"/>
          <w:szCs w:val="28"/>
        </w:rPr>
        <w:t xml:space="preserve"> «Об</w:t>
      </w:r>
      <w:r w:rsidR="00B340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320B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Pr="003369F4">
        <w:rPr>
          <w:rFonts w:ascii="Times New Roman" w:hAnsi="Times New Roman" w:cs="Times New Roman"/>
          <w:b w:val="0"/>
          <w:sz w:val="28"/>
          <w:szCs w:val="28"/>
        </w:rPr>
        <w:t>Программ</w:t>
      </w:r>
      <w:r w:rsidR="0067320B">
        <w:rPr>
          <w:rFonts w:ascii="Times New Roman" w:hAnsi="Times New Roman" w:cs="Times New Roman"/>
          <w:b w:val="0"/>
          <w:sz w:val="28"/>
          <w:szCs w:val="28"/>
        </w:rPr>
        <w:t>ы</w:t>
      </w:r>
      <w:r w:rsidRPr="003369F4">
        <w:rPr>
          <w:rFonts w:ascii="Times New Roman" w:hAnsi="Times New Roman" w:cs="Times New Roman"/>
          <w:b w:val="0"/>
          <w:sz w:val="28"/>
          <w:szCs w:val="28"/>
        </w:rPr>
        <w:t xml:space="preserve"> комплексного развития социальной инфраструктуры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Pr="003369F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на 2017-2030 гг.</w:t>
      </w:r>
      <w:r w:rsidR="0067320B">
        <w:rPr>
          <w:rFonts w:ascii="Times New Roman" w:hAnsi="Times New Roman" w:cs="Times New Roman"/>
          <w:b w:val="0"/>
          <w:sz w:val="28"/>
          <w:szCs w:val="28"/>
        </w:rPr>
        <w:t>»</w:t>
      </w:r>
      <w:r w:rsidR="00BE7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D07C0" w:rsidRPr="00BE7276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1D07C0" w:rsidRPr="003369F4" w:rsidRDefault="003369F4" w:rsidP="003369F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0126">
        <w:rPr>
          <w:rFonts w:ascii="Times New Roman" w:hAnsi="Times New Roman"/>
          <w:sz w:val="28"/>
          <w:szCs w:val="28"/>
        </w:rPr>
        <w:t>В соответствии с Экспертным заключением Правового управления Пр</w:t>
      </w:r>
      <w:r w:rsidR="003A194D">
        <w:rPr>
          <w:rFonts w:ascii="Times New Roman" w:hAnsi="Times New Roman"/>
          <w:sz w:val="28"/>
          <w:szCs w:val="28"/>
        </w:rPr>
        <w:t>авительства Воронежской области,</w:t>
      </w:r>
      <w:r w:rsidRPr="00C20126">
        <w:rPr>
          <w:rFonts w:ascii="Times New Roman" w:hAnsi="Times New Roman"/>
          <w:sz w:val="28"/>
          <w:szCs w:val="28"/>
        </w:rPr>
        <w:t xml:space="preserve"> постановлением Правительства РФ от 01.10.2015 № 1050 «Об утверждении требований к комплексным программам развития социальной инфраструктуры», Уставом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C20126">
        <w:rPr>
          <w:rFonts w:ascii="Times New Roman" w:hAnsi="Times New Roman"/>
          <w:sz w:val="28"/>
          <w:szCs w:val="28"/>
        </w:rPr>
        <w:t xml:space="preserve"> поселения, Совет народных депутатов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C2012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7320B">
        <w:rPr>
          <w:rFonts w:ascii="Times New Roman" w:hAnsi="Times New Roman"/>
          <w:sz w:val="28"/>
          <w:szCs w:val="28"/>
        </w:rPr>
        <w:t xml:space="preserve"> Каменского муниципального района Воронежской области</w:t>
      </w:r>
    </w:p>
    <w:p w:rsidR="001D07C0" w:rsidRPr="003A194D" w:rsidRDefault="003369F4" w:rsidP="00336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1D07C0" w:rsidRPr="003A19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69F4" w:rsidRPr="00BE7276" w:rsidRDefault="001D07C0" w:rsidP="003369F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369F4" w:rsidRPr="00C20126">
        <w:rPr>
          <w:rFonts w:ascii="Times New Roman" w:hAnsi="Times New Roman"/>
          <w:sz w:val="28"/>
          <w:szCs w:val="28"/>
        </w:rPr>
        <w:t xml:space="preserve">Внести изменения и дополнения в </w:t>
      </w:r>
      <w:r w:rsidR="0067320B">
        <w:rPr>
          <w:rFonts w:ascii="Times New Roman" w:hAnsi="Times New Roman"/>
          <w:sz w:val="28"/>
          <w:szCs w:val="28"/>
        </w:rPr>
        <w:t>П</w:t>
      </w:r>
      <w:r w:rsidR="003369F4" w:rsidRPr="00C20126">
        <w:rPr>
          <w:rFonts w:ascii="Times New Roman" w:hAnsi="Times New Roman"/>
          <w:sz w:val="28"/>
          <w:szCs w:val="28"/>
        </w:rPr>
        <w:t xml:space="preserve">рограмму комплексного развития социальной инфраструктуры </w:t>
      </w:r>
      <w:proofErr w:type="spellStart"/>
      <w:r w:rsidR="003369F4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3369F4" w:rsidRPr="00C2012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369F4">
        <w:rPr>
          <w:rFonts w:ascii="Times New Roman" w:hAnsi="Times New Roman"/>
          <w:sz w:val="28"/>
          <w:szCs w:val="28"/>
        </w:rPr>
        <w:t>Каменского</w:t>
      </w:r>
      <w:r w:rsidR="003369F4" w:rsidRPr="00C2012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369F4">
        <w:rPr>
          <w:rFonts w:ascii="Times New Roman" w:hAnsi="Times New Roman"/>
          <w:sz w:val="28"/>
          <w:szCs w:val="28"/>
        </w:rPr>
        <w:t>Воронежской области на 2017-2030</w:t>
      </w:r>
      <w:r w:rsidR="003369F4" w:rsidRPr="00C20126">
        <w:rPr>
          <w:rFonts w:ascii="Times New Roman" w:hAnsi="Times New Roman"/>
          <w:sz w:val="28"/>
          <w:szCs w:val="28"/>
        </w:rPr>
        <w:t xml:space="preserve"> годы, утвержденную решением Совета народных депутатов </w:t>
      </w:r>
      <w:proofErr w:type="spellStart"/>
      <w:r w:rsidR="003369F4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3369F4" w:rsidRPr="00C2012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369F4">
        <w:rPr>
          <w:rFonts w:ascii="Times New Roman" w:hAnsi="Times New Roman"/>
          <w:sz w:val="28"/>
          <w:szCs w:val="28"/>
        </w:rPr>
        <w:t>Каменского</w:t>
      </w:r>
      <w:r w:rsidR="003369F4" w:rsidRPr="00C2012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369F4" w:rsidRPr="0067320B">
        <w:rPr>
          <w:rFonts w:ascii="Times New Roman" w:hAnsi="Times New Roman"/>
          <w:sz w:val="28"/>
          <w:szCs w:val="28"/>
        </w:rPr>
        <w:t xml:space="preserve">от </w:t>
      </w:r>
      <w:r w:rsidR="0067320B" w:rsidRPr="0067320B">
        <w:rPr>
          <w:rFonts w:ascii="Times New Roman" w:hAnsi="Times New Roman"/>
          <w:sz w:val="28"/>
          <w:szCs w:val="28"/>
        </w:rPr>
        <w:t>10.11.</w:t>
      </w:r>
      <w:r w:rsidR="003369F4" w:rsidRPr="0067320B">
        <w:rPr>
          <w:rFonts w:ascii="Times New Roman" w:hAnsi="Times New Roman"/>
          <w:sz w:val="28"/>
          <w:szCs w:val="28"/>
        </w:rPr>
        <w:t>2017 г. №</w:t>
      </w:r>
      <w:r w:rsidR="0067320B" w:rsidRPr="0067320B">
        <w:rPr>
          <w:rFonts w:ascii="Times New Roman" w:hAnsi="Times New Roman"/>
          <w:sz w:val="28"/>
          <w:szCs w:val="28"/>
        </w:rPr>
        <w:t xml:space="preserve"> 81</w:t>
      </w:r>
      <w:r w:rsidR="003369F4" w:rsidRPr="00C20126">
        <w:rPr>
          <w:rFonts w:ascii="Times New Roman" w:hAnsi="Times New Roman"/>
          <w:sz w:val="28"/>
          <w:szCs w:val="28"/>
        </w:rPr>
        <w:t xml:space="preserve"> «О</w:t>
      </w:r>
      <w:r w:rsidR="003369F4">
        <w:rPr>
          <w:rFonts w:ascii="Times New Roman" w:hAnsi="Times New Roman"/>
          <w:sz w:val="28"/>
          <w:szCs w:val="28"/>
        </w:rPr>
        <w:t>б</w:t>
      </w:r>
      <w:r w:rsidR="003369F4" w:rsidRPr="00C20126">
        <w:rPr>
          <w:rFonts w:ascii="Times New Roman" w:hAnsi="Times New Roman"/>
          <w:sz w:val="28"/>
          <w:szCs w:val="28"/>
        </w:rPr>
        <w:t xml:space="preserve"> </w:t>
      </w:r>
      <w:r w:rsidR="003369F4">
        <w:rPr>
          <w:rFonts w:ascii="Times New Roman" w:hAnsi="Times New Roman"/>
          <w:sz w:val="28"/>
          <w:szCs w:val="28"/>
        </w:rPr>
        <w:t>утверждении</w:t>
      </w:r>
      <w:r w:rsidR="003369F4" w:rsidRPr="00C20126">
        <w:rPr>
          <w:rFonts w:ascii="Times New Roman" w:hAnsi="Times New Roman"/>
          <w:sz w:val="28"/>
          <w:szCs w:val="28"/>
        </w:rPr>
        <w:t xml:space="preserve"> программы комплексного развития социальной инфраструктуры </w:t>
      </w:r>
      <w:proofErr w:type="spellStart"/>
      <w:r w:rsidR="003369F4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3369F4" w:rsidRPr="00C2012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369F4">
        <w:rPr>
          <w:rFonts w:ascii="Times New Roman" w:hAnsi="Times New Roman"/>
          <w:sz w:val="28"/>
          <w:szCs w:val="28"/>
        </w:rPr>
        <w:t>Каменского</w:t>
      </w:r>
      <w:r w:rsidR="003369F4" w:rsidRPr="00C2012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на </w:t>
      </w:r>
      <w:r w:rsidR="003369F4">
        <w:rPr>
          <w:rFonts w:ascii="Times New Roman" w:hAnsi="Times New Roman"/>
          <w:sz w:val="28"/>
          <w:szCs w:val="28"/>
        </w:rPr>
        <w:t>2017 - 2030 гг</w:t>
      </w:r>
      <w:r w:rsidR="003369F4" w:rsidRPr="0067320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77A52">
        <w:rPr>
          <w:rFonts w:ascii="Times New Roman" w:hAnsi="Times New Roman"/>
          <w:color w:val="000000" w:themeColor="text1"/>
          <w:sz w:val="28"/>
          <w:szCs w:val="28"/>
        </w:rPr>
        <w:t>», согласно приложению к настоящему решению.</w:t>
      </w:r>
      <w:proofErr w:type="gramEnd"/>
    </w:p>
    <w:p w:rsidR="001D07C0" w:rsidRPr="006329B8" w:rsidRDefault="001D07C0" w:rsidP="00336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решение на территории </w:t>
      </w:r>
      <w:proofErr w:type="spellStart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1D07C0" w:rsidRDefault="001D07C0" w:rsidP="00336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официального обнародования.</w:t>
      </w:r>
    </w:p>
    <w:p w:rsidR="003369F4" w:rsidRPr="006329B8" w:rsidRDefault="003369F4" w:rsidP="00336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0EF" w:rsidRDefault="00A500EF" w:rsidP="001D07C0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1D07C0" w:rsidRPr="003369F4" w:rsidRDefault="00A500EF" w:rsidP="001D07C0">
      <w:pP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Глава </w:t>
      </w:r>
      <w:proofErr w:type="spellStart"/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Евдаковского</w:t>
      </w:r>
      <w:proofErr w:type="spellEnd"/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 поселения                             </w:t>
      </w:r>
      <w:r w:rsidR="003369F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                  Т.В. </w:t>
      </w:r>
      <w:proofErr w:type="spellStart"/>
      <w:r w:rsidR="003369F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Скрипникова</w:t>
      </w:r>
      <w:proofErr w:type="spellEnd"/>
      <w:r w:rsidR="001D07C0">
        <w:rPr>
          <w:rFonts w:ascii="Times New Roman" w:eastAsia="Times New Roman" w:hAnsi="Times New Roman" w:cs="Calibri"/>
          <w:b/>
          <w:bCs/>
          <w:i/>
          <w:sz w:val="28"/>
          <w:szCs w:val="28"/>
        </w:rPr>
        <w:br w:type="page"/>
      </w: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BE7276" w:rsidRPr="00873234" w:rsidRDefault="00BE7276" w:rsidP="00BE7276">
      <w:pPr>
        <w:shd w:val="clear" w:color="auto" w:fill="FFFFFF"/>
        <w:spacing w:after="0"/>
        <w:ind w:firstLine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3234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УТВЕРЖДЕНА</w:t>
      </w:r>
    </w:p>
    <w:p w:rsidR="00BE7276" w:rsidRPr="00873234" w:rsidRDefault="00BE7276" w:rsidP="00BE7276">
      <w:pPr>
        <w:shd w:val="clear" w:color="auto" w:fill="FFFFFF"/>
        <w:spacing w:after="0"/>
        <w:ind w:firstLine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3234">
        <w:rPr>
          <w:rFonts w:ascii="Times New Roman" w:hAnsi="Times New Roman" w:cs="Times New Roman"/>
          <w:color w:val="000000" w:themeColor="text1"/>
          <w:sz w:val="24"/>
          <w:szCs w:val="24"/>
        </w:rPr>
        <w:t>Решением Совета народных депутатов</w:t>
      </w:r>
    </w:p>
    <w:p w:rsidR="00BE7276" w:rsidRPr="00873234" w:rsidRDefault="00BE7276" w:rsidP="00BE7276">
      <w:pPr>
        <w:shd w:val="clear" w:color="auto" w:fill="FFFFFF"/>
        <w:spacing w:after="0"/>
        <w:ind w:firstLine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73234">
        <w:rPr>
          <w:rFonts w:ascii="Times New Roman" w:hAnsi="Times New Roman" w:cs="Times New Roman"/>
          <w:color w:val="000000" w:themeColor="text1"/>
          <w:sz w:val="24"/>
          <w:szCs w:val="24"/>
        </w:rPr>
        <w:t>Евдаковского</w:t>
      </w:r>
      <w:proofErr w:type="spellEnd"/>
      <w:r w:rsidRPr="00873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BE7276" w:rsidRPr="00873234" w:rsidRDefault="00BE7276" w:rsidP="00BE7276">
      <w:pPr>
        <w:shd w:val="clear" w:color="auto" w:fill="FFFFFF"/>
        <w:spacing w:after="0"/>
        <w:ind w:firstLine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3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 </w:t>
      </w:r>
      <w:r w:rsidR="00B77A52">
        <w:rPr>
          <w:rFonts w:ascii="Times New Roman" w:hAnsi="Times New Roman" w:cs="Times New Roman"/>
          <w:color w:val="000000" w:themeColor="text1"/>
          <w:sz w:val="24"/>
          <w:szCs w:val="24"/>
        </w:rPr>
        <w:t>06.02.2018г № 96</w:t>
      </w:r>
      <w:bookmarkStart w:id="0" w:name="_GoBack"/>
      <w:bookmarkEnd w:id="0"/>
    </w:p>
    <w:p w:rsidR="001D07C0" w:rsidRPr="00297781" w:rsidRDefault="001D07C0" w:rsidP="003369F4">
      <w:pPr>
        <w:spacing w:after="0" w:line="240" w:lineRule="auto"/>
        <w:ind w:hanging="2410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ПРОГРАММА КОМПЛЕКСНОГО РАЗВИТИЯ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СОЦИАЛЬНОЙ ИНФРАСТРУКТУРЫ </w:t>
      </w:r>
    </w:p>
    <w:p w:rsidR="001D07C0" w:rsidRPr="009363E3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ЕВДАКОВСКОГО СЕЛЬСКОГО ПОСЕЛЕНИЯ</w:t>
      </w:r>
    </w:p>
    <w:p w:rsidR="001D07C0" w:rsidRPr="009363E3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КАМЕНСКОГО МУНИЦИПАЛЬНОГО РАЙОНА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НА 2017 –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sz w:val="28"/>
          <w:szCs w:val="28"/>
        </w:rPr>
        <w:t>2017 г.</w:t>
      </w:r>
    </w:p>
    <w:p w:rsidR="001D07C0" w:rsidRDefault="001D07C0">
      <w:pPr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br w:type="page"/>
      </w:r>
    </w:p>
    <w:p w:rsidR="00B20511" w:rsidRPr="00F91CBC" w:rsidRDefault="00B20511" w:rsidP="001D07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ПАСПОРТ </w:t>
      </w:r>
      <w:r w:rsidR="00F91CBC" w:rsidRPr="00F9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</w:t>
      </w:r>
    </w:p>
    <w:p w:rsidR="00B20511" w:rsidRPr="00F91CBC" w:rsidRDefault="00B20511" w:rsidP="00B205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46"/>
        <w:gridCol w:w="6381"/>
      </w:tblGrid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программы: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F91CB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«Комплексно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инфраструктуры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 2017-2030 годы»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Основание разработки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Градостроительный кодекс Российской Федерации, Федеральный Закон № 131-ФЗ от 06.10.2003 «Об общих принципах организации местного самоуправления в Российской Федерации», Постановление Правительства РФ от 01.10.2015№1050 «Об утверждении требований к программам комплексного развития социальной инфраструктуры поселений, городских округов" Устав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Генеральный план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области, адрес:396512, Воронежская область, Каменский район, с. Евдаково, ул. Захарченко, дом 28.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области, адрес:396512, Воронежская область, Каменский район, с. Евдаково, ул. Захарченко, дом 28.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Основная цель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Комплексное развитие социальной инфраструктуры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эффективность функционирования действующей социальной инфраструктуры.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и(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индикаторы</w:t>
            </w: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) </w:t>
            </w: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уменьшение доли социальных объектов, не отвечающих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требования, в общей численности объектов социальной инфраструктуры;</w:t>
            </w:r>
          </w:p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-достижение расчетного уровня обеспеченности населения социальными услугами. 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2017 - 2030 год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Укрупненное описание запланированных мероприятий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F91CB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Содержание, ремонт и капитальный ремонт объектов социальной инфраструктуры поселения;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Объемы и источники финансирования Программы (тыс. руб.)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финансируется из местного, районного, областного и федерального бюджетов, инвестиционных ресурсов, предприятий, организаций, предпринимателей, учреждений, средств граждан</w:t>
            </w:r>
            <w:proofErr w:type="gramEnd"/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тысяч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- 35 тысяч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- 40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- 45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- 50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- 55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- 65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- 70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- 75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- 100 тыс. рублей 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700 тыс. рублей.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B20511" w:rsidRDefault="00B20511"/>
    <w:p w:rsidR="00B20511" w:rsidRDefault="00B20511">
      <w:r>
        <w:br w:type="page"/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9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существующего состояния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Анализ социальной инфраструктуры сельского поселения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сельского поселения составляет </w:t>
      </w:r>
      <w:r w:rsidRPr="00B04F69">
        <w:rPr>
          <w:rFonts w:ascii="Times New Roman" w:hAnsi="Times New Roman"/>
          <w:sz w:val="28"/>
          <w:szCs w:val="28"/>
        </w:rPr>
        <w:t>98,8 км</w:t>
      </w:r>
      <w:proofErr w:type="gramStart"/>
      <w:r w:rsidRPr="00B04F69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Численность населения по данным на 01.01.2017 года составила 1236 чел. В состав поселения входят 4 населенных пунктов. Административный центр – с. Евдаково</w:t>
      </w:r>
      <w:r w:rsidR="00F91C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Евдаковское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включает в себя 4 населенных пунктов, с центром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Евдаково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51"/>
        <w:gridCol w:w="2442"/>
        <w:gridCol w:w="1843"/>
        <w:gridCol w:w="30"/>
        <w:gridCol w:w="2634"/>
      </w:tblGrid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поселения,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населенных пунктов, входящих в состав поселения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DDDDD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населения населенного пункта, чел.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DDDDD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01.01.2017 г.</w:t>
            </w:r>
          </w:p>
        </w:tc>
        <w:tc>
          <w:tcPr>
            <w:tcW w:w="2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Расстояние от населенного пункта до центра поселения,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Евдаковское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Евдаково</w:t>
            </w:r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Ляпино</w:t>
            </w:r>
            <w:proofErr w:type="spellEnd"/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Ясеново</w:t>
            </w:r>
            <w:proofErr w:type="spellEnd"/>
          </w:p>
          <w:p w:rsidR="00B20511" w:rsidRPr="00B04F69" w:rsidRDefault="00B20511" w:rsidP="00DE5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1236</w:t>
            </w:r>
          </w:p>
        </w:tc>
        <w:tc>
          <w:tcPr>
            <w:tcW w:w="2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Демографическая ситуация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численность населения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01.01.2017 года составила 1236 человек. Численность трудоспособного возраста составляет 648 человека (55,6 % от общей численности). Детей в возрасте до 15 лет 258 человек.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Демографическая ситуация, складывающаяся на территории сельского поселения, свидетельствует о наличии общих тенденций, присущих большинству территорий Воронежской области, и характеризуется низким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уровнем рождаемости, высокой смертностью, неблагоприятным соотношение «рождаемость-смертность»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само 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заболеваний, онкологии.</w:t>
      </w:r>
      <w:r w:rsidR="001D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показатели рождаемости влияют следующие моменты: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материальное благополучие;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выплаты за рождение второго ребенка;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собственного жилья;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уверенность в будущем подрастающего поколения.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2.1.3.Рынок труда в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трудоспособного населения - около 648 человек, население граждан, не достигших совершеннолетия — 258 человек. Доля численности населения в трудоспособном возрасте от общей составляет 55,6 процентов.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Развитие отраслей социальной сферы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на 2017 год и на период до 2030 года определены следующие приоритеты социальной инфраструктуры развития сельского поселения: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-повышение уровня жизни населения сельского, в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основе развития социальной инфраструктуры;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условий для гармоничного развития подрастающего поколения в поселении;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-сохранение культурного наследия.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2.1.4.1. Культура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Default="00B20511" w:rsidP="00B2051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 населению в области культуры в сельском поселении: 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СДК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Евдаковский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Щербаковский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клуб;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сельская библиотека с. Евдаково.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07"/>
        <w:gridCol w:w="2656"/>
        <w:gridCol w:w="2675"/>
        <w:gridCol w:w="2362"/>
      </w:tblGrid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.Е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вдаково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Евдаковская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9942 экземпляров книг 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сельский клуб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</w:tbl>
    <w:p w:rsidR="00B20511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сельских клубах созданы взрослые и детские коллективы, работают кружки для взрослых и детей различных направлений: танцевальные, музыкальные, театральные и т.д.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направлений работы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соревнований по военно-прикладным видам спорта, Дни призывника, проведение единых социальных действий.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 в культурно-досуговых учреждениях - вводить инновационные формы организации досуга населения и увеличить процент охвата населения.</w:t>
      </w:r>
    </w:p>
    <w:p w:rsidR="00B20511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этих мероприятий позволит увеличить обеспеченность населения сельского поселения культурно-досуговыми услугами.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2.1.4.2.Физическая культура и спорт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5" w:type="dxa"/>
        <w:jc w:val="center"/>
        <w:tblCellSpacing w:w="15" w:type="dxa"/>
        <w:tblInd w:w="-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76"/>
        <w:gridCol w:w="3592"/>
        <w:gridCol w:w="1569"/>
        <w:gridCol w:w="3248"/>
      </w:tblGrid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Спортивный зал МКОУ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Многофункциональная спортивная площадка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хорошее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сельском поселении ведется спортивная работа в многочисленных секциях.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имеется стадион, спортивная площадка, где проводятся игры и соревнования по волейболу, баскетболу, футболу, мини-футболу и т.д.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зимний период любимыми видами спорта среди населения является катание на коньках, игра в хоккей.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 достойно представляет многие виды спорта на районных и областных соревнованиях.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2.1.4.3.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 1 школа. Численность учащихся составляет 94 человек.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2.1.4.4. Здравоохранение 2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фельдшерско-акушерских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1" w:type="dxa"/>
        <w:jc w:val="center"/>
        <w:tblCellSpacing w:w="15" w:type="dxa"/>
        <w:tblInd w:w="-4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40"/>
        <w:gridCol w:w="2159"/>
        <w:gridCol w:w="1744"/>
        <w:gridCol w:w="1470"/>
        <w:gridCol w:w="2948"/>
      </w:tblGrid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Этажн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ость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ФАП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ФАП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потери здоровья жителями определяется, прежде всего, условиями жизни и труда. Сельские жители поселения практически лишены элементарных коммунальных удобств, труд чаще носит физический характер.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 высокой заболеваемости населения кроется в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 особенностях проживания: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жизненный уровень,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средств на приобретение лекарств,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социальная культура,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плотность населения;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удаленность от районного центра;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и качество предоставляемых медицинских услуг.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вышеперечисленные отправные рубежи необходимо сделать вывод: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обобщенном виде главной целью Программы развития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на 2017-2030 гг.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сфере.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Прогноз развития социальной инфраструктуры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Прогноз социально-экономического и градостроительного развития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восстановления процессов естественного прироста населения.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Прогноз развития социальной инфраструктуры.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реализации Программы социальная инфраструктура не претерпит существенных изменений. Основные социальные объекты планируется капитально отремонтировать и реконструировать. Основная задача сохранить имеющуюся социальную инфраструктуру, соответствующую нормам и требованиям.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экономической ситуации, мероприятия по развитию социальной инфраструктуры мероприятия по устройству зрительного зала со стационарной киноустановкой, реконструкции здания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ООШ, проектированию и строительству аптеки в с. Евдаково, проектированию и строительству предприятия бытового обслуживания на 5 рабочих мест, включающего также услуги прачечной (на 33,9 кг/смену), химчистки (на 2,7 кг/смену), парикмахерской, организации в рекреационной (пляжной) зоне, строительству детской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в период реализации Программы не предусматриваются.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по развитию и сохранности объектов социальной инфраструктуры.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качественного уровня объектов социальной инфраструктуры поселения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предлагается в период действия программы реализовать следующий комплекс мероприятий по развитию сохранности объектов социальной инфраструктуры поселения: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инвестиционных проектов объектов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5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Структура инвестиций.</w:t>
      </w:r>
    </w:p>
    <w:p w:rsidR="00B20511" w:rsidRPr="00B04F69" w:rsidRDefault="00B2051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Общий объём средств, необходимый на первоочередные мероприя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тия реализации программы </w:t>
      </w:r>
      <w:proofErr w:type="spell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 на 2017 - 2030 годы, составляет 670 тыс. рублей. Из них наибольшая доля требуется на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ремонт объектов социальной инфраструктуры. Распределение планового объёма инвестиций по объектам социальной инфраструктуре с учётом реализуемых и планируемых к реализации проектов развития социальной инфраструктуры, а также их приоритетности потребности в финансовых вложениях распределены на 2017 – 2030 годы. </w:t>
      </w:r>
    </w:p>
    <w:p w:rsidR="00B20511" w:rsidRDefault="00B2051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анализа 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состояния объектов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сельского поселения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показано, что экономика поселения является малопривлекательной для частных инвестиций</w:t>
      </w: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.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Причинами тому служат </w:t>
      </w: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стабильная численность населения. Наряду с этим бюджетная обеспеченность поселения находится на низком уровне. </w:t>
      </w:r>
      <w:r w:rsidR="005967E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настоящий момент предприятия, обслуживающие объекты социальной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инфраструктуры поселения отсутствуют. Поэтому в качестве основного источника инвестиций предлагается подразумевать поступления от вышестоящих бюджетов.</w:t>
      </w: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F20F1" w:rsidRDefault="007F20F1" w:rsidP="00FA101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FA1018" w:rsidRDefault="00FA1018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sectPr w:rsidR="00FA1018" w:rsidSect="003369F4">
          <w:pgSz w:w="11906" w:h="16838"/>
          <w:pgMar w:top="709" w:right="850" w:bottom="284" w:left="1701" w:header="708" w:footer="708" w:gutter="0"/>
          <w:cols w:space="708"/>
          <w:docGrid w:linePitch="360"/>
        </w:sectPr>
      </w:pPr>
    </w:p>
    <w:p w:rsidR="00FA1018" w:rsidRPr="00873234" w:rsidRDefault="00FA1018" w:rsidP="00FA1018">
      <w:pPr>
        <w:shd w:val="clear" w:color="auto" w:fill="FFFFFF"/>
        <w:tabs>
          <w:tab w:val="left" w:pos="99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73234">
        <w:rPr>
          <w:rFonts w:ascii="Times New Roman" w:hAnsi="Times New Roman" w:cs="Times New Roman"/>
          <w:sz w:val="28"/>
          <w:szCs w:val="28"/>
        </w:rPr>
        <w:lastRenderedPageBreak/>
        <w:t xml:space="preserve">6. Целевые индикаторы программы, включающие </w:t>
      </w:r>
      <w:proofErr w:type="gramStart"/>
      <w:r w:rsidRPr="00873234">
        <w:rPr>
          <w:rFonts w:ascii="Times New Roman" w:hAnsi="Times New Roman" w:cs="Times New Roman"/>
          <w:sz w:val="28"/>
          <w:szCs w:val="28"/>
        </w:rPr>
        <w:t>технико – экономические</w:t>
      </w:r>
      <w:proofErr w:type="gramEnd"/>
      <w:r w:rsidRPr="00873234">
        <w:rPr>
          <w:rFonts w:ascii="Times New Roman" w:hAnsi="Times New Roman" w:cs="Times New Roman"/>
          <w:sz w:val="28"/>
          <w:szCs w:val="28"/>
        </w:rPr>
        <w:t>, финансовые и социально – экономические показатели развития социальной инфраструктуры.</w:t>
      </w:r>
    </w:p>
    <w:p w:rsidR="00FA1018" w:rsidRPr="00FA1018" w:rsidRDefault="00FA1018" w:rsidP="00FA1018">
      <w:pPr>
        <w:shd w:val="clear" w:color="auto" w:fill="FFFFFF"/>
        <w:tabs>
          <w:tab w:val="left" w:pos="994"/>
        </w:tabs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7323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73234">
        <w:rPr>
          <w:rFonts w:ascii="Times New Roman" w:hAnsi="Times New Roman" w:cs="Times New Roman"/>
          <w:sz w:val="28"/>
          <w:szCs w:val="28"/>
        </w:rPr>
        <w:t>6</w:t>
      </w:r>
      <w:r w:rsidRPr="00873234">
        <w:rPr>
          <w:rFonts w:ascii="Times New Roman" w:hAnsi="Times New Roman" w:cs="Times New Roman"/>
          <w:sz w:val="28"/>
          <w:szCs w:val="28"/>
        </w:rPr>
        <w:t>.1.</w:t>
      </w:r>
    </w:p>
    <w:p w:rsidR="00FA1018" w:rsidRDefault="00FA1018" w:rsidP="00FA101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15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170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FA1018" w:rsidRPr="00FA1018" w:rsidTr="00437B35">
        <w:trPr>
          <w:trHeight w:val="926"/>
        </w:trPr>
        <w:tc>
          <w:tcPr>
            <w:tcW w:w="1905" w:type="dxa"/>
            <w:vMerge w:val="restart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Наименование индикаторов целей 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Ед. измерения индикаторов целей Программы</w:t>
            </w:r>
          </w:p>
        </w:tc>
        <w:tc>
          <w:tcPr>
            <w:tcW w:w="11904" w:type="dxa"/>
            <w:gridSpan w:val="14"/>
            <w:shd w:val="clear" w:color="auto" w:fill="auto"/>
            <w:vAlign w:val="center"/>
          </w:tcPr>
          <w:p w:rsidR="00FA1018" w:rsidRPr="00FA1018" w:rsidRDefault="00FA1018" w:rsidP="00437B35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A1018">
              <w:rPr>
                <w:rFonts w:ascii="Times New Roman" w:eastAsia="Arial Unicode MS" w:hAnsi="Times New Roman" w:cs="Times New Roman"/>
                <w:sz w:val="24"/>
                <w:szCs w:val="24"/>
              </w:rPr>
              <w:t>Промежуточные значения индикаторов</w:t>
            </w:r>
          </w:p>
        </w:tc>
      </w:tr>
      <w:tr w:rsidR="00FA1018" w:rsidRPr="00FA1018" w:rsidTr="00437B35">
        <w:trPr>
          <w:trHeight w:val="925"/>
        </w:trPr>
        <w:tc>
          <w:tcPr>
            <w:tcW w:w="1905" w:type="dxa"/>
            <w:vMerge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2022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2023</w:t>
            </w:r>
          </w:p>
        </w:tc>
        <w:tc>
          <w:tcPr>
            <w:tcW w:w="851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2024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2025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2027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2029</w:t>
            </w:r>
          </w:p>
        </w:tc>
        <w:tc>
          <w:tcPr>
            <w:tcW w:w="850" w:type="dxa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2030</w:t>
            </w:r>
          </w:p>
        </w:tc>
      </w:tr>
      <w:tr w:rsidR="00FA1018" w:rsidRPr="00FA1018" w:rsidTr="00437B35">
        <w:tc>
          <w:tcPr>
            <w:tcW w:w="1905" w:type="dxa"/>
            <w:shd w:val="clear" w:color="auto" w:fill="auto"/>
            <w:vAlign w:val="center"/>
          </w:tcPr>
          <w:p w:rsidR="00FA1018" w:rsidRPr="00FA1018" w:rsidRDefault="00FA1018" w:rsidP="00437B35">
            <w:pPr>
              <w:shd w:val="clear" w:color="auto" w:fill="FFFFFF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A101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уменьшение доли социальных объектов, не отвечающих </w:t>
            </w:r>
            <w:proofErr w:type="gramStart"/>
            <w:r w:rsidRPr="00FA1018">
              <w:rPr>
                <w:rFonts w:ascii="Times New Roman" w:eastAsia="Arial Unicode MS" w:hAnsi="Times New Roman" w:cs="Times New Roman"/>
                <w:sz w:val="24"/>
                <w:szCs w:val="24"/>
              </w:rPr>
              <w:t>нормативным</w:t>
            </w:r>
            <w:proofErr w:type="gramEnd"/>
            <w:r w:rsidRPr="00FA101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требования, в общей численности объектов социальной инфраструктуры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50</w:t>
            </w:r>
          </w:p>
        </w:tc>
        <w:tc>
          <w:tcPr>
            <w:tcW w:w="851" w:type="dxa"/>
            <w:vAlign w:val="center"/>
          </w:tcPr>
          <w:p w:rsidR="00FA1018" w:rsidRPr="00873234" w:rsidRDefault="00873234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45</w:t>
            </w:r>
          </w:p>
        </w:tc>
        <w:tc>
          <w:tcPr>
            <w:tcW w:w="850" w:type="dxa"/>
            <w:vAlign w:val="center"/>
          </w:tcPr>
          <w:p w:rsidR="00FA1018" w:rsidRPr="00873234" w:rsidRDefault="00873234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35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20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0</w:t>
            </w:r>
          </w:p>
        </w:tc>
      </w:tr>
      <w:tr w:rsidR="00FA1018" w:rsidRPr="00FA1018" w:rsidTr="00437B35">
        <w:tc>
          <w:tcPr>
            <w:tcW w:w="1905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jc w:val="left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- достижение расчетного уровня обеспеченности населения социальными услугами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1018" w:rsidRPr="00FA1018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</w:rPr>
            </w:pPr>
            <w:r w:rsidRPr="00FA1018">
              <w:rPr>
                <w:rFonts w:ascii="Times New Roman" w:eastAsia="Arial Unicode MS" w:hAnsi="Times New Roman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60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70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873234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8</w:t>
            </w:r>
            <w:r w:rsidR="00873234" w:rsidRPr="00873234">
              <w:rPr>
                <w:rFonts w:ascii="Times New Roman" w:eastAsia="Arial Unicode MS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90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95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vAlign w:val="center"/>
          </w:tcPr>
          <w:p w:rsidR="00FA1018" w:rsidRPr="00873234" w:rsidRDefault="00FA1018" w:rsidP="00437B35">
            <w:pPr>
              <w:pStyle w:val="1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873234">
              <w:rPr>
                <w:rFonts w:ascii="Times New Roman" w:eastAsia="Arial Unicode MS" w:hAnsi="Times New Roman"/>
                <w:color w:val="000000" w:themeColor="text1"/>
              </w:rPr>
              <w:t>100</w:t>
            </w:r>
          </w:p>
        </w:tc>
      </w:tr>
    </w:tbl>
    <w:p w:rsidR="00FA1018" w:rsidRDefault="00FA1018" w:rsidP="00FA101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sectPr w:rsidR="00FA1018" w:rsidSect="00FA1018">
          <w:pgSz w:w="16838" w:h="11906" w:orient="landscape"/>
          <w:pgMar w:top="851" w:right="1134" w:bottom="993" w:left="709" w:header="709" w:footer="709" w:gutter="0"/>
          <w:cols w:space="708"/>
          <w:docGrid w:linePitch="360"/>
        </w:sectPr>
      </w:pPr>
    </w:p>
    <w:p w:rsidR="007F20F1" w:rsidRPr="00B04F69" w:rsidRDefault="007F20F1" w:rsidP="00FA101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FA1018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20511"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эффективности мероприятий развития транспортной инфраструктуры: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эффективность функционирования действующей социальной инфраструктуры.</w:t>
      </w:r>
    </w:p>
    <w:p w:rsidR="00B20511" w:rsidRPr="00B04F69" w:rsidRDefault="00FA1018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="00B20511"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Предложение по институциональным преобразованиям. Совершенствованию правового информационного обеспечения деятельности в сфере социального обслуживания населения и субъектов экономической деятельности на территории </w:t>
      </w:r>
      <w:proofErr w:type="spellStart"/>
      <w:r w:rsidR="00B20511"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Евдаковского</w:t>
      </w:r>
      <w:proofErr w:type="spellEnd"/>
      <w:r w:rsidR="00B20511"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Совет народных депутатов сельского поселения осуществляет общий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реализацией программных мероприятий по срокам, содержанию, финансовым затратам и ресурсам;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Программа разрабатывается сроком на срок действия Генерального плана поселения и подлежит корректировке ежегодно.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Мониторинг Программы включает следующие этапы: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 Периодический сбор информации о результатах проводимых преобразований в социальном хозяйстве, а также информации о состоянии и развитии социальной инфраструктуры;</w:t>
      </w:r>
    </w:p>
    <w:p w:rsidR="00B20511" w:rsidRPr="00B04F69" w:rsidRDefault="00692E42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B20511"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Анализ данных о результатах проводимых преобразований социальной инфраструктуры.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характеризующим выполнение программы, а также состоянию социальной инфраструктуры. </w:t>
      </w:r>
    </w:p>
    <w:p w:rsidR="00BF68C7" w:rsidRDefault="00B20511" w:rsidP="00B20511">
      <w:pPr>
        <w:spacing w:line="240" w:lineRule="auto"/>
        <w:ind w:firstLine="708"/>
        <w:jc w:val="both"/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Разработка и последующая корректировка Программы комплексного развития социальной инфраструктуры базируется на необходимости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достижения целевых уровней муниципальных стандартов качества предоставления социальных услуг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услуг</w:t>
      </w:r>
      <w:r w:rsidR="00692E4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sectPr w:rsidR="00BF68C7" w:rsidSect="00B20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80"/>
    <w:rsid w:val="001D07C0"/>
    <w:rsid w:val="002450D4"/>
    <w:rsid w:val="003369F4"/>
    <w:rsid w:val="003A194D"/>
    <w:rsid w:val="003E45BB"/>
    <w:rsid w:val="0046225F"/>
    <w:rsid w:val="005967EF"/>
    <w:rsid w:val="0067320B"/>
    <w:rsid w:val="00692E42"/>
    <w:rsid w:val="0076119C"/>
    <w:rsid w:val="007A6C5A"/>
    <w:rsid w:val="007F20F1"/>
    <w:rsid w:val="00873234"/>
    <w:rsid w:val="00A500EF"/>
    <w:rsid w:val="00AA5E80"/>
    <w:rsid w:val="00B20511"/>
    <w:rsid w:val="00B340E4"/>
    <w:rsid w:val="00B77A52"/>
    <w:rsid w:val="00B916D2"/>
    <w:rsid w:val="00BE7276"/>
    <w:rsid w:val="00BF68C7"/>
    <w:rsid w:val="00C702B7"/>
    <w:rsid w:val="00F91CBC"/>
    <w:rsid w:val="00FA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CBC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rsid w:val="00FA1018"/>
    <w:pPr>
      <w:suppressAutoHyphens/>
      <w:spacing w:before="100" w:after="100" w:line="100" w:lineRule="atLeast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itle">
    <w:name w:val="Title!Название НПА"/>
    <w:basedOn w:val="a"/>
    <w:uiPriority w:val="99"/>
    <w:rsid w:val="003369F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msonormalcxspmiddle">
    <w:name w:val="msonormalcxspmiddle"/>
    <w:basedOn w:val="a"/>
    <w:rsid w:val="003369F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CBC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rsid w:val="00FA1018"/>
    <w:pPr>
      <w:suppressAutoHyphens/>
      <w:spacing w:before="100" w:after="100" w:line="100" w:lineRule="atLeast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itle">
    <w:name w:val="Title!Название НПА"/>
    <w:basedOn w:val="a"/>
    <w:uiPriority w:val="99"/>
    <w:rsid w:val="003369F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msonormalcxspmiddle">
    <w:name w:val="msonormalcxspmiddle"/>
    <w:basedOn w:val="a"/>
    <w:rsid w:val="003369F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454C-5BDE-42E7-A726-8D3F25F2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2018-02-28T12:41:00Z</cp:lastPrinted>
  <dcterms:created xsi:type="dcterms:W3CDTF">2018-01-11T12:55:00Z</dcterms:created>
  <dcterms:modified xsi:type="dcterms:W3CDTF">2018-02-28T12:44:00Z</dcterms:modified>
</cp:coreProperties>
</file>